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3363FF0F" w14:textId="65905290" w:rsidR="006F5FD0" w:rsidRPr="00B33EE6" w:rsidRDefault="00511032" w:rsidP="00511032">
      <w:pPr>
        <w:jc w:val="center"/>
        <w:rPr>
          <w:sz w:val="28"/>
          <w:szCs w:val="28"/>
          <w:lang w:val="en-GB"/>
        </w:rPr>
      </w:pPr>
      <w:r w:rsidRPr="00511032">
        <w:rPr>
          <w:rStyle w:val="Strong"/>
          <w:sz w:val="28"/>
          <w:szCs w:val="28"/>
          <w:lang w:val="en-GB"/>
        </w:rPr>
        <w:t>Training materials, Conduction of Courses and Preparation of Strategy of Modern Food Sector for the project FeedingFuture</w:t>
      </w:r>
      <w:r w:rsidR="006F5FD0" w:rsidRPr="00B33EE6">
        <w:rPr>
          <w:rStyle w:val="Strong"/>
          <w:sz w:val="28"/>
          <w:szCs w:val="28"/>
          <w:lang w:val="en-GB"/>
        </w:rPr>
        <w:br/>
      </w:r>
      <w:r w:rsidR="00DD3467">
        <w:rPr>
          <w:rStyle w:val="Strong"/>
          <w:sz w:val="28"/>
          <w:szCs w:val="28"/>
          <w:lang w:val="en-GB"/>
        </w:rPr>
        <w:t>Novi Sad</w:t>
      </w:r>
      <w:r w:rsidR="00AC6250">
        <w:rPr>
          <w:rStyle w:val="Strong"/>
          <w:sz w:val="28"/>
          <w:szCs w:val="28"/>
          <w:lang w:val="en-GB"/>
        </w:rPr>
        <w:t>, Republic of Serbia</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22C5333A" w:rsidR="006F5FD0" w:rsidRPr="00B33EE6" w:rsidRDefault="00511032">
      <w:pPr>
        <w:pStyle w:val="Blockquote"/>
        <w:rPr>
          <w:i/>
          <w:sz w:val="22"/>
          <w:szCs w:val="22"/>
          <w:lang w:val="en-GB"/>
        </w:rPr>
      </w:pPr>
      <w:r w:rsidRPr="00511032">
        <w:rPr>
          <w:sz w:val="22"/>
          <w:szCs w:val="22"/>
          <w:lang w:val="en-GB"/>
        </w:rPr>
        <w:t>HUSRB/23R/21/046-5/Training materials, Conduction of courses and Strategy</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5216242F" w:rsidR="006F5FD0" w:rsidRPr="00B33EE6" w:rsidRDefault="00F60220" w:rsidP="00AC6250">
      <w:pPr>
        <w:pStyle w:val="Blockquote"/>
        <w:ind w:left="0" w:firstLine="360"/>
        <w:jc w:val="both"/>
        <w:rPr>
          <w:sz w:val="22"/>
          <w:szCs w:val="22"/>
          <w:lang w:val="en-GB"/>
        </w:rPr>
      </w:pPr>
      <w:r w:rsidRPr="00AC6250">
        <w:rPr>
          <w:sz w:val="22"/>
          <w:szCs w:val="22"/>
          <w:lang w:val="en-GB"/>
        </w:rPr>
        <w:t>Si</w:t>
      </w:r>
      <w:r w:rsidR="00A949AA">
        <w:rPr>
          <w:sz w:val="22"/>
          <w:szCs w:val="22"/>
          <w:lang w:val="en-GB"/>
        </w:rPr>
        <w:t>mplified</w:t>
      </w:r>
      <w:r w:rsidRPr="00AC6250">
        <w:rPr>
          <w:sz w:val="22"/>
          <w:szCs w:val="22"/>
          <w:lang w:val="en-GB"/>
        </w:rPr>
        <w:t xml:space="preserve"> tender</w:t>
      </w:r>
      <w:r w:rsidR="00A949AA">
        <w:rPr>
          <w:sz w:val="22"/>
          <w:szCs w:val="22"/>
          <w:lang w:val="en-GB"/>
        </w:rPr>
        <w:t xml:space="preserve"> procedure</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22999B6D" w:rsidR="00971962" w:rsidRPr="00AC6250" w:rsidRDefault="00AC6250" w:rsidP="00AC6250">
      <w:pPr>
        <w:pStyle w:val="Blockquote"/>
        <w:ind w:left="0" w:firstLine="360"/>
        <w:jc w:val="both"/>
        <w:rPr>
          <w:sz w:val="22"/>
          <w:szCs w:val="22"/>
          <w:lang w:val="en-GB"/>
        </w:rPr>
      </w:pPr>
      <w:r w:rsidRPr="00AC6250">
        <w:rPr>
          <w:sz w:val="22"/>
          <w:szCs w:val="22"/>
          <w:lang w:val="en-GB"/>
        </w:rPr>
        <w:t xml:space="preserve">Interreg IPA CBC </w:t>
      </w:r>
      <w:r w:rsidR="00A949AA">
        <w:rPr>
          <w:sz w:val="22"/>
          <w:szCs w:val="22"/>
          <w:lang w:val="en-GB"/>
        </w:rPr>
        <w:t>Hungary</w:t>
      </w:r>
      <w:r w:rsidRPr="00AC6250">
        <w:rPr>
          <w:sz w:val="22"/>
          <w:szCs w:val="22"/>
          <w:lang w:val="en-GB"/>
        </w:rPr>
        <w:t xml:space="preserve"> – Serbia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1E0D4C57" w:rsidR="00502217" w:rsidRPr="00B33EE6" w:rsidRDefault="00511032" w:rsidP="00502217">
      <w:pPr>
        <w:pStyle w:val="Blockquote"/>
        <w:jc w:val="both"/>
        <w:rPr>
          <w:sz w:val="22"/>
          <w:szCs w:val="22"/>
          <w:lang w:val="en-GB"/>
        </w:rPr>
      </w:pPr>
      <w:r w:rsidRPr="00511032">
        <w:rPr>
          <w:sz w:val="22"/>
          <w:szCs w:val="22"/>
          <w:lang w:val="en-GB"/>
        </w:rPr>
        <w:t>HUSRB/23R/21/046</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7BAC1285" w14:textId="77777777" w:rsidR="00511032" w:rsidRPr="00511032" w:rsidRDefault="00511032" w:rsidP="00511032">
      <w:pPr>
        <w:spacing w:before="0" w:after="0"/>
        <w:ind w:left="360" w:right="360"/>
        <w:jc w:val="both"/>
        <w:rPr>
          <w:rStyle w:val="Emphasis"/>
          <w:i w:val="0"/>
          <w:sz w:val="22"/>
          <w:szCs w:val="22"/>
          <w:lang w:val="en-GB"/>
        </w:rPr>
      </w:pPr>
      <w:r w:rsidRPr="00511032">
        <w:rPr>
          <w:rStyle w:val="Emphasis"/>
          <w:i w:val="0"/>
          <w:sz w:val="22"/>
          <w:szCs w:val="22"/>
          <w:lang w:val="en-GB"/>
        </w:rPr>
        <w:t>University of Novi Sad</w:t>
      </w:r>
    </w:p>
    <w:p w14:paraId="134F61F8" w14:textId="63D2DB52" w:rsidR="00511032" w:rsidRPr="00511032" w:rsidRDefault="00511032" w:rsidP="00511032">
      <w:pPr>
        <w:spacing w:before="0" w:after="0"/>
        <w:ind w:left="360" w:right="360"/>
        <w:jc w:val="both"/>
        <w:rPr>
          <w:rStyle w:val="Emphasis"/>
          <w:i w:val="0"/>
          <w:sz w:val="22"/>
          <w:szCs w:val="22"/>
          <w:lang w:val="en-GB"/>
        </w:rPr>
      </w:pPr>
      <w:r w:rsidRPr="00511032">
        <w:rPr>
          <w:rStyle w:val="Emphasis"/>
          <w:i w:val="0"/>
          <w:sz w:val="22"/>
          <w:szCs w:val="22"/>
          <w:lang w:val="en-GB"/>
        </w:rPr>
        <w:t>Faculty of Technology</w:t>
      </w:r>
      <w:r w:rsidR="00A145DA">
        <w:rPr>
          <w:rStyle w:val="Emphasis"/>
          <w:i w:val="0"/>
          <w:sz w:val="22"/>
          <w:szCs w:val="22"/>
          <w:lang w:val="en-GB"/>
        </w:rPr>
        <w:t xml:space="preserve"> Novi Sad</w:t>
      </w:r>
      <w:bookmarkStart w:id="0" w:name="_GoBack"/>
      <w:bookmarkEnd w:id="0"/>
    </w:p>
    <w:p w14:paraId="676E1F10" w14:textId="77777777" w:rsidR="00511032" w:rsidRPr="00511032" w:rsidRDefault="00511032" w:rsidP="00511032">
      <w:pPr>
        <w:spacing w:before="0" w:after="0"/>
        <w:ind w:left="360" w:right="360"/>
        <w:jc w:val="both"/>
        <w:rPr>
          <w:rStyle w:val="Emphasis"/>
          <w:i w:val="0"/>
          <w:sz w:val="22"/>
          <w:szCs w:val="22"/>
          <w:lang w:val="en-GB"/>
        </w:rPr>
      </w:pPr>
      <w:r w:rsidRPr="00511032">
        <w:rPr>
          <w:rStyle w:val="Emphasis"/>
          <w:i w:val="0"/>
          <w:sz w:val="22"/>
          <w:szCs w:val="22"/>
          <w:lang w:val="en-GB"/>
        </w:rPr>
        <w:t>Bulevar cara Lazara 1</w:t>
      </w:r>
    </w:p>
    <w:p w14:paraId="2E275465" w14:textId="06AA9CF5" w:rsidR="00AC6250" w:rsidRDefault="00511032" w:rsidP="00511032">
      <w:pPr>
        <w:spacing w:before="0" w:after="0"/>
        <w:ind w:left="360" w:right="360"/>
        <w:jc w:val="both"/>
        <w:rPr>
          <w:rStyle w:val="Emphasis"/>
          <w:i w:val="0"/>
          <w:sz w:val="22"/>
          <w:szCs w:val="22"/>
          <w:lang w:val="en-GB"/>
        </w:rPr>
      </w:pPr>
      <w:r w:rsidRPr="00511032">
        <w:rPr>
          <w:rStyle w:val="Emphasis"/>
          <w:i w:val="0"/>
          <w:sz w:val="22"/>
          <w:szCs w:val="22"/>
          <w:lang w:val="en-GB"/>
        </w:rPr>
        <w:t>21000 Novi Sad</w:t>
      </w:r>
    </w:p>
    <w:p w14:paraId="67F4A905" w14:textId="77777777" w:rsidR="006F5FD0" w:rsidRPr="00B33EE6" w:rsidRDefault="00AC1C22">
      <w:pPr>
        <w:rPr>
          <w:sz w:val="22"/>
          <w:szCs w:val="22"/>
          <w:lang w:val="en-GB"/>
        </w:rPr>
      </w:pPr>
      <w:r>
        <w:rPr>
          <w:snapToGrid/>
          <w:sz w:val="22"/>
          <w:szCs w:val="22"/>
          <w:lang w:val="en-GB"/>
        </w:rPr>
        <w:pict w14:anchorId="589D319E">
          <v:line id="_x0000_s1027" style="position:absolute;z-index:1"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0AFC86A4" w:rsidR="006F5FD0" w:rsidRPr="00B33EE6" w:rsidRDefault="00AC6250">
      <w:pPr>
        <w:pStyle w:val="Blockquote"/>
        <w:jc w:val="both"/>
        <w:rPr>
          <w:i/>
          <w:sz w:val="22"/>
          <w:szCs w:val="22"/>
          <w:lang w:val="en-GB"/>
        </w:rPr>
      </w:pPr>
      <w:r>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4855594F" w14:textId="0E92FF9B" w:rsidR="007C29F0" w:rsidRDefault="00511032" w:rsidP="007C29F0">
      <w:pPr>
        <w:pStyle w:val="Blockquote"/>
        <w:jc w:val="both"/>
        <w:rPr>
          <w:rStyle w:val="Emphasis"/>
          <w:i w:val="0"/>
          <w:sz w:val="22"/>
          <w:szCs w:val="22"/>
          <w:lang w:val="en-GB"/>
        </w:rPr>
      </w:pPr>
      <w:r w:rsidRPr="00511032">
        <w:rPr>
          <w:rStyle w:val="Emphasis"/>
          <w:i w:val="0"/>
          <w:sz w:val="22"/>
          <w:szCs w:val="22"/>
          <w:lang w:val="en-GB"/>
        </w:rPr>
        <w:t>University of Novi Sad Faculty of Technology is implementing Intereg IPA CBC Hungary – Serbia project with acronym FeedingFuture.</w:t>
      </w:r>
      <w:r w:rsidR="004B278D">
        <w:rPr>
          <w:rStyle w:val="Emphasis"/>
          <w:i w:val="0"/>
          <w:sz w:val="22"/>
          <w:szCs w:val="22"/>
          <w:lang w:val="en-GB"/>
        </w:rPr>
        <w:t xml:space="preserve"> </w:t>
      </w:r>
      <w:r w:rsidR="004B278D" w:rsidRPr="00511032">
        <w:rPr>
          <w:rStyle w:val="Emphasis"/>
          <w:i w:val="0"/>
          <w:sz w:val="22"/>
          <w:szCs w:val="22"/>
          <w:lang w:val="en-GB"/>
        </w:rPr>
        <w:t>According to Ac</w:t>
      </w:r>
      <w:r w:rsidR="004B278D">
        <w:rPr>
          <w:rStyle w:val="Emphasis"/>
          <w:i w:val="0"/>
          <w:sz w:val="22"/>
          <w:szCs w:val="22"/>
          <w:lang w:val="en-GB"/>
        </w:rPr>
        <w:t>tivity Plan and Project Budget is planned to realize several services as follows:</w:t>
      </w:r>
    </w:p>
    <w:p w14:paraId="38648D6A" w14:textId="2AA0DD4E" w:rsidR="004B278D" w:rsidRDefault="004B278D" w:rsidP="007C29F0">
      <w:pPr>
        <w:pStyle w:val="Blockquote"/>
        <w:jc w:val="both"/>
        <w:rPr>
          <w:rStyle w:val="Emphasis"/>
          <w:i w:val="0"/>
          <w:sz w:val="22"/>
          <w:szCs w:val="22"/>
          <w:lang w:val="en-GB"/>
        </w:rPr>
      </w:pPr>
      <w:r>
        <w:rPr>
          <w:rStyle w:val="Emphasis"/>
          <w:i w:val="0"/>
          <w:sz w:val="22"/>
          <w:szCs w:val="22"/>
          <w:lang w:val="en-GB"/>
        </w:rPr>
        <w:t xml:space="preserve">a) </w:t>
      </w:r>
      <w:r w:rsidRPr="004B278D">
        <w:rPr>
          <w:rStyle w:val="Emphasis"/>
          <w:sz w:val="22"/>
          <w:szCs w:val="22"/>
          <w:lang w:val="en-GB"/>
        </w:rPr>
        <w:t>Development of the Strategy for the development of the modern food sector in cross-border area</w:t>
      </w:r>
      <w:r w:rsidRPr="004B278D">
        <w:rPr>
          <w:rStyle w:val="Emphasis"/>
          <w:i w:val="0"/>
          <w:sz w:val="22"/>
          <w:szCs w:val="22"/>
          <w:lang w:val="en-GB"/>
        </w:rPr>
        <w:t>, including development of surveys,</w:t>
      </w:r>
      <w:r>
        <w:rPr>
          <w:rStyle w:val="Emphasis"/>
          <w:i w:val="0"/>
          <w:sz w:val="22"/>
          <w:szCs w:val="22"/>
          <w:lang w:val="en-GB"/>
        </w:rPr>
        <w:t xml:space="preserve"> analysis of surveys, reviewing</w:t>
      </w:r>
      <w:r w:rsidRPr="004B278D">
        <w:rPr>
          <w:rStyle w:val="Emphasis"/>
          <w:i w:val="0"/>
          <w:sz w:val="22"/>
          <w:szCs w:val="22"/>
          <w:lang w:val="en-GB"/>
        </w:rPr>
        <w:t xml:space="preserve"> legislatives concerned lifelong learning and food sector in SRB, HU, EU, writing the strategy.</w:t>
      </w:r>
    </w:p>
    <w:p w14:paraId="7856B055" w14:textId="5CA4DA0C" w:rsidR="004B278D" w:rsidRDefault="004B278D" w:rsidP="007C29F0">
      <w:pPr>
        <w:pStyle w:val="Blockquote"/>
        <w:jc w:val="both"/>
        <w:rPr>
          <w:rStyle w:val="Emphasis"/>
          <w:i w:val="0"/>
          <w:sz w:val="22"/>
          <w:szCs w:val="22"/>
          <w:lang w:val="en-GB"/>
        </w:rPr>
      </w:pPr>
      <w:r>
        <w:rPr>
          <w:rStyle w:val="Emphasis"/>
          <w:i w:val="0"/>
          <w:sz w:val="22"/>
          <w:szCs w:val="22"/>
          <w:lang w:val="en-GB"/>
        </w:rPr>
        <w:t xml:space="preserve">b) </w:t>
      </w:r>
      <w:r w:rsidRPr="004B278D">
        <w:rPr>
          <w:rStyle w:val="Emphasis"/>
          <w:sz w:val="22"/>
          <w:szCs w:val="22"/>
          <w:lang w:val="en-GB"/>
        </w:rPr>
        <w:t>Training content development for courses for Educational Program FeedingFuture</w:t>
      </w:r>
      <w:r>
        <w:rPr>
          <w:rStyle w:val="Emphasis"/>
          <w:i w:val="0"/>
          <w:sz w:val="22"/>
          <w:szCs w:val="22"/>
          <w:lang w:val="en-GB"/>
        </w:rPr>
        <w:t xml:space="preserve"> - </w:t>
      </w:r>
      <w:r w:rsidRPr="004B278D">
        <w:rPr>
          <w:rStyle w:val="Emphasis"/>
          <w:i w:val="0"/>
          <w:sz w:val="22"/>
          <w:szCs w:val="22"/>
          <w:lang w:val="en-GB"/>
        </w:rPr>
        <w:t>Curricula and training content development on Serbian language for 2 courses:  Greening the Future: Digital Solutions for Circular Food Systems (C2) and Food and Nutrition Care Process (C4) with with including all  curricula, teaching material, handouts, presentations.</w:t>
      </w:r>
    </w:p>
    <w:p w14:paraId="3B4DDB59" w14:textId="55BC8310" w:rsidR="004B278D" w:rsidRPr="004B278D" w:rsidRDefault="004B278D" w:rsidP="007C29F0">
      <w:pPr>
        <w:pStyle w:val="Blockquote"/>
        <w:jc w:val="both"/>
        <w:rPr>
          <w:rStyle w:val="Emphasis"/>
          <w:i w:val="0"/>
          <w:sz w:val="22"/>
          <w:szCs w:val="22"/>
          <w:lang w:val="en-GB"/>
        </w:rPr>
      </w:pPr>
      <w:r>
        <w:rPr>
          <w:rStyle w:val="Emphasis"/>
          <w:i w:val="0"/>
          <w:sz w:val="22"/>
          <w:szCs w:val="22"/>
          <w:lang w:val="en-GB"/>
        </w:rPr>
        <w:t xml:space="preserve">c) </w:t>
      </w:r>
      <w:r w:rsidRPr="004B278D">
        <w:rPr>
          <w:rStyle w:val="Emphasis"/>
          <w:sz w:val="22"/>
          <w:szCs w:val="22"/>
          <w:lang w:val="en-GB"/>
        </w:rPr>
        <w:t>Conduction of courses in the frame of Educational Program in SRB</w:t>
      </w:r>
      <w:r>
        <w:rPr>
          <w:rStyle w:val="Emphasis"/>
          <w:i w:val="0"/>
          <w:sz w:val="22"/>
          <w:szCs w:val="22"/>
          <w:lang w:val="en-GB"/>
        </w:rPr>
        <w:t xml:space="preserve"> - </w:t>
      </w:r>
      <w:r w:rsidRPr="004B278D">
        <w:rPr>
          <w:rStyle w:val="Emphasis"/>
          <w:i w:val="0"/>
          <w:sz w:val="22"/>
          <w:szCs w:val="22"/>
          <w:lang w:val="en-GB"/>
        </w:rPr>
        <w:t>Conduction of 4 courses in SRB in the frame of Educational program (C1,</w:t>
      </w:r>
      <w:r>
        <w:rPr>
          <w:rStyle w:val="Emphasis"/>
          <w:i w:val="0"/>
          <w:sz w:val="22"/>
          <w:szCs w:val="22"/>
          <w:lang w:val="en-GB"/>
        </w:rPr>
        <w:t xml:space="preserve"> </w:t>
      </w:r>
      <w:r w:rsidRPr="004B278D">
        <w:rPr>
          <w:rStyle w:val="Emphasis"/>
          <w:i w:val="0"/>
          <w:sz w:val="22"/>
          <w:szCs w:val="22"/>
          <w:lang w:val="en-GB"/>
        </w:rPr>
        <w:t>C2,</w:t>
      </w:r>
      <w:r>
        <w:rPr>
          <w:rStyle w:val="Emphasis"/>
          <w:i w:val="0"/>
          <w:sz w:val="22"/>
          <w:szCs w:val="22"/>
          <w:lang w:val="en-GB"/>
        </w:rPr>
        <w:t xml:space="preserve"> </w:t>
      </w:r>
      <w:r w:rsidRPr="004B278D">
        <w:rPr>
          <w:rStyle w:val="Emphasis"/>
          <w:i w:val="0"/>
          <w:sz w:val="22"/>
          <w:szCs w:val="22"/>
          <w:lang w:val="en-GB"/>
        </w:rPr>
        <w:t>C3,</w:t>
      </w:r>
      <w:r>
        <w:rPr>
          <w:rStyle w:val="Emphasis"/>
          <w:i w:val="0"/>
          <w:sz w:val="22"/>
          <w:szCs w:val="22"/>
          <w:lang w:val="en-GB"/>
        </w:rPr>
        <w:t xml:space="preserve"> </w:t>
      </w:r>
      <w:r w:rsidRPr="004B278D">
        <w:rPr>
          <w:rStyle w:val="Emphasis"/>
          <w:i w:val="0"/>
          <w:sz w:val="22"/>
          <w:szCs w:val="22"/>
          <w:lang w:val="en-GB"/>
        </w:rPr>
        <w:t>C4): 4 courses with 4 sessions of 4 hours. The courses last altogether 64 hours for the 4 courses.</w:t>
      </w:r>
    </w:p>
    <w:p w14:paraId="12CA4C8E" w14:textId="7DF82540" w:rsidR="006F5FD0" w:rsidRPr="006D2DC5" w:rsidRDefault="006F5FD0" w:rsidP="007C29F0">
      <w:pPr>
        <w:pStyle w:val="Blockquote"/>
        <w:jc w:val="both"/>
        <w:rPr>
          <w:rStyle w:val="Emphasis"/>
          <w:i w:val="0"/>
          <w:color w:val="FF0000"/>
          <w:sz w:val="22"/>
          <w:szCs w:val="22"/>
          <w:lang w:val="en-GB"/>
        </w:rPr>
      </w:pP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0A0FF7B3" w:rsidR="00E9047D" w:rsidRPr="00B33EE6" w:rsidRDefault="00AC6250" w:rsidP="00584BF4">
      <w:pPr>
        <w:ind w:left="709" w:hanging="349"/>
        <w:outlineLvl w:val="0"/>
        <w:rPr>
          <w:rStyle w:val="Emphasis"/>
          <w:i w:val="0"/>
          <w:sz w:val="22"/>
          <w:szCs w:val="22"/>
          <w:lang w:val="en-GB"/>
        </w:rPr>
      </w:pPr>
      <w:r>
        <w:rPr>
          <w:rStyle w:val="Emphasis"/>
          <w:i w:val="0"/>
          <w:sz w:val="22"/>
          <w:szCs w:val="22"/>
          <w:lang w:val="en-GB"/>
        </w:rPr>
        <w:t>Tender is not divided in lots.</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3254C915" w:rsidR="00971962" w:rsidRPr="00AC6250" w:rsidRDefault="006D2DC5" w:rsidP="00971962">
      <w:pPr>
        <w:pStyle w:val="Blockquote"/>
        <w:jc w:val="both"/>
        <w:rPr>
          <w:sz w:val="22"/>
          <w:szCs w:val="22"/>
          <w:lang w:val="en-GB"/>
        </w:rPr>
      </w:pPr>
      <w:r>
        <w:rPr>
          <w:sz w:val="22"/>
          <w:szCs w:val="22"/>
          <w:lang w:val="en-GB"/>
        </w:rPr>
        <w:t>29</w:t>
      </w:r>
      <w:r w:rsidR="00AC6250" w:rsidRPr="00AC6250">
        <w:rPr>
          <w:sz w:val="22"/>
          <w:szCs w:val="22"/>
          <w:lang w:val="en-GB"/>
        </w:rPr>
        <w:t>.000 EUR</w:t>
      </w:r>
    </w:p>
    <w:p w14:paraId="6C843D95" w14:textId="77777777" w:rsidR="006F5FD0" w:rsidRPr="00B33EE6" w:rsidRDefault="00AC1C22" w:rsidP="004B278D">
      <w:pPr>
        <w:pStyle w:val="Blockquote"/>
        <w:ind w:left="0"/>
        <w:jc w:val="both"/>
        <w:rPr>
          <w:sz w:val="22"/>
          <w:szCs w:val="22"/>
          <w:lang w:val="en-GB"/>
        </w:rPr>
      </w:pPr>
      <w:r>
        <w:rPr>
          <w:snapToGrid/>
          <w:sz w:val="22"/>
          <w:szCs w:val="22"/>
          <w:lang w:val="en-GB"/>
        </w:rPr>
        <w:pict w14:anchorId="21854D6C">
          <v:line id="_x0000_s1028" style="position:absolute;left:0;text-align:left;z-index:2"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58624CBC" w14:textId="1CC465EC" w:rsidR="00B9793F" w:rsidRPr="00AC6250" w:rsidRDefault="00B9793F" w:rsidP="00AC6250">
      <w:pPr>
        <w:pStyle w:val="FootnoteText"/>
        <w:ind w:firstLine="426"/>
        <w:rPr>
          <w:rStyle w:val="eop"/>
          <w:b/>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r w:rsidRPr="00F72244">
        <w:rPr>
          <w:rStyle w:val="eop"/>
          <w:color w:val="FF0000"/>
          <w:sz w:val="22"/>
          <w:szCs w:val="22"/>
        </w:rPr>
        <w:t> </w:t>
      </w:r>
    </w:p>
    <w:p w14:paraId="21D2BECF" w14:textId="136465B6" w:rsidR="00B9793F" w:rsidRPr="00AC6250" w:rsidRDefault="00AC6250" w:rsidP="00AC6250">
      <w:pPr>
        <w:pStyle w:val="paragraph"/>
        <w:spacing w:before="0" w:beforeAutospacing="0" w:after="0" w:afterAutospacing="0"/>
        <w:ind w:left="426" w:right="270"/>
        <w:jc w:val="both"/>
        <w:textAlignment w:val="baseline"/>
        <w:rPr>
          <w:rStyle w:val="Strong"/>
          <w:b w:val="0"/>
          <w:sz w:val="22"/>
          <w:szCs w:val="22"/>
          <w:shd w:val="clear" w:color="auto" w:fill="FFFF00"/>
          <w:lang w:val="en-GB"/>
        </w:rPr>
      </w:pPr>
      <w:r>
        <w:rPr>
          <w:color w:val="000000"/>
          <w:sz w:val="22"/>
          <w:szCs w:val="22"/>
        </w:rPr>
        <w:t xml:space="preserve">Participation is </w:t>
      </w:r>
      <w:r w:rsidRPr="006C5EB4">
        <w:rPr>
          <w:color w:val="000000"/>
          <w:sz w:val="22"/>
          <w:szCs w:val="22"/>
        </w:rPr>
        <w:t>open to all natural persons who are nationals of, and legal persons which are effectively established in the participating countries, other Member States, other IPA II</w:t>
      </w:r>
      <w:r>
        <w:rPr>
          <w:color w:val="000000"/>
          <w:sz w:val="22"/>
          <w:szCs w:val="22"/>
        </w:rPr>
        <w:t>I</w:t>
      </w:r>
      <w:r w:rsidRPr="006C5EB4">
        <w:rPr>
          <w:color w:val="000000"/>
          <w:sz w:val="22"/>
          <w:szCs w:val="22"/>
        </w:rPr>
        <w:t xml:space="preserve"> beneficiaries, contracting parties to the Agreement on the European Economic Area and partner countries covered by the European Neighbourhood Instrument (hereafter referred to as ‘eligible countries’), and</w:t>
      </w:r>
      <w:r>
        <w:rPr>
          <w:color w:val="000000"/>
          <w:sz w:val="22"/>
          <w:szCs w:val="22"/>
        </w:rPr>
        <w:t xml:space="preserve"> to International Organisations</w:t>
      </w:r>
      <w:r w:rsidRPr="006C5EB4">
        <w:rPr>
          <w:color w:val="000000"/>
          <w:sz w:val="22"/>
          <w:szCs w:val="22"/>
        </w:rPr>
        <w:t xml:space="preserve"> </w:t>
      </w:r>
      <w:r>
        <w:rPr>
          <w:color w:val="000000"/>
          <w:sz w:val="22"/>
          <w:szCs w:val="22"/>
        </w:rPr>
        <w:t>(participating either individually or in a grouping – consortium - of tenderers).</w:t>
      </w: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AC1C22">
      <w:pPr>
        <w:keepNext/>
        <w:jc w:val="center"/>
        <w:rPr>
          <w:sz w:val="28"/>
          <w:szCs w:val="28"/>
          <w:lang w:val="en-GB"/>
        </w:rPr>
      </w:pPr>
      <w:r>
        <w:rPr>
          <w:snapToGrid/>
          <w:sz w:val="22"/>
          <w:szCs w:val="22"/>
          <w:lang w:val="en-GB"/>
        </w:rPr>
        <w:pict w14:anchorId="11F7E59B">
          <v:line id="_x0000_s1029"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3069C26F" w:rsidR="006F5FD0" w:rsidRPr="00511032" w:rsidRDefault="006D2DC5" w:rsidP="00571687">
      <w:pPr>
        <w:pStyle w:val="Blockquote"/>
        <w:jc w:val="both"/>
        <w:rPr>
          <w:i/>
          <w:sz w:val="22"/>
          <w:szCs w:val="22"/>
          <w:lang w:val="en-GB"/>
        </w:rPr>
      </w:pPr>
      <w:r w:rsidRPr="00511032">
        <w:rPr>
          <w:rStyle w:val="Emphasis"/>
          <w:i w:val="0"/>
          <w:sz w:val="22"/>
          <w:szCs w:val="22"/>
          <w:lang w:val="en-GB"/>
        </w:rPr>
        <w:t>March</w:t>
      </w:r>
      <w:r w:rsidR="009C3194" w:rsidRPr="00511032">
        <w:rPr>
          <w:rStyle w:val="Emphasis"/>
          <w:i w:val="0"/>
          <w:sz w:val="22"/>
          <w:szCs w:val="22"/>
          <w:lang w:val="en-GB"/>
        </w:rPr>
        <w:t xml:space="preserve"> </w:t>
      </w:r>
      <w:r w:rsidRPr="00511032">
        <w:rPr>
          <w:rStyle w:val="Emphasis"/>
          <w:i w:val="0"/>
          <w:sz w:val="22"/>
          <w:szCs w:val="22"/>
          <w:lang w:val="en-GB"/>
        </w:rPr>
        <w:t>04</w:t>
      </w:r>
      <w:r w:rsidR="009C3194" w:rsidRPr="00511032">
        <w:rPr>
          <w:rStyle w:val="Emphasis"/>
          <w:i w:val="0"/>
          <w:sz w:val="22"/>
          <w:szCs w:val="22"/>
          <w:vertAlign w:val="superscript"/>
          <w:lang w:val="en-GB"/>
        </w:rPr>
        <w:t>th</w:t>
      </w:r>
      <w:r w:rsidR="009C3194" w:rsidRPr="00511032">
        <w:rPr>
          <w:rStyle w:val="Emphasis"/>
          <w:i w:val="0"/>
          <w:sz w:val="22"/>
          <w:szCs w:val="22"/>
          <w:lang w:val="en-GB"/>
        </w:rPr>
        <w:t xml:space="preserve"> 202</w:t>
      </w:r>
      <w:r w:rsidRPr="00511032">
        <w:rPr>
          <w:rStyle w:val="Emphasis"/>
          <w:i w:val="0"/>
          <w:sz w:val="22"/>
          <w:szCs w:val="22"/>
          <w:lang w:val="en-GB"/>
        </w:rPr>
        <w:t>5</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0DE92995" w:rsidR="006F5FD0" w:rsidRPr="00B33EE6" w:rsidRDefault="006D2DC5" w:rsidP="00571687">
      <w:pPr>
        <w:pStyle w:val="Blockquote"/>
        <w:jc w:val="both"/>
        <w:rPr>
          <w:i/>
          <w:sz w:val="22"/>
          <w:szCs w:val="22"/>
          <w:lang w:val="en-GB"/>
        </w:rPr>
      </w:pPr>
      <w:r>
        <w:rPr>
          <w:rStyle w:val="Emphasis"/>
          <w:i w:val="0"/>
          <w:sz w:val="22"/>
          <w:szCs w:val="22"/>
          <w:lang w:val="en-GB"/>
        </w:rPr>
        <w:t>1</w:t>
      </w:r>
      <w:r w:rsidR="00DD3467">
        <w:rPr>
          <w:rStyle w:val="Emphasis"/>
          <w:i w:val="0"/>
          <w:sz w:val="22"/>
          <w:szCs w:val="22"/>
          <w:lang w:val="en-GB"/>
        </w:rPr>
        <w:t>2</w:t>
      </w:r>
      <w:r w:rsidR="009C3194">
        <w:rPr>
          <w:rStyle w:val="Emphasis"/>
          <w:i w:val="0"/>
          <w:sz w:val="22"/>
          <w:szCs w:val="22"/>
          <w:lang w:val="en-GB"/>
        </w:rPr>
        <w:t xml:space="preserve"> months from the contract signing.</w:t>
      </w:r>
    </w:p>
    <w:p w14:paraId="29CC7DD8" w14:textId="77777777" w:rsidR="006F5FD0" w:rsidRPr="00B33EE6" w:rsidRDefault="00AC1C22">
      <w:pPr>
        <w:rPr>
          <w:sz w:val="22"/>
          <w:szCs w:val="22"/>
          <w:lang w:val="en-GB"/>
        </w:rPr>
      </w:pPr>
      <w:r>
        <w:rPr>
          <w:snapToGrid/>
          <w:sz w:val="22"/>
          <w:szCs w:val="22"/>
          <w:lang w:val="en-GB"/>
        </w:rPr>
        <w:pict w14:anchorId="6E3015B7">
          <v:line id="_x0000_s1030" style="position:absolute;z-index:4" from="0,12pt" to="468pt,12.05pt" o:allowincell="f" strokecolor="#d4d4d4" strokeweight="1.75pt">
            <v:shadow on="t" origin=",32385f" offset="0,-1pt"/>
          </v:line>
        </w:pict>
      </w:r>
    </w:p>
    <w:p w14:paraId="02C6A821" w14:textId="77777777" w:rsidR="004B278D" w:rsidRDefault="004B278D">
      <w:pPr>
        <w:jc w:val="center"/>
        <w:rPr>
          <w:rStyle w:val="Strong"/>
          <w:sz w:val="28"/>
          <w:szCs w:val="28"/>
          <w:lang w:val="en-GB"/>
        </w:rPr>
      </w:pPr>
    </w:p>
    <w:p w14:paraId="25048343" w14:textId="77777777" w:rsidR="006F5FD0" w:rsidRPr="00B33EE6" w:rsidRDefault="006F5FD0">
      <w:pPr>
        <w:jc w:val="center"/>
        <w:rPr>
          <w:sz w:val="28"/>
          <w:szCs w:val="28"/>
          <w:lang w:val="en-GB"/>
        </w:rPr>
      </w:pPr>
      <w:r w:rsidRPr="00B33EE6">
        <w:rPr>
          <w:rStyle w:val="Strong"/>
          <w:sz w:val="28"/>
          <w:szCs w:val="28"/>
          <w:lang w:val="en-GB"/>
        </w:rPr>
        <w:lastRenderedPageBreak/>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96697A8" w14:textId="719DA26E" w:rsidR="00215403" w:rsidRPr="00AC6250" w:rsidRDefault="00215403" w:rsidP="00AC6250">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351B547B"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7484D4E9"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486BFB54" w14:textId="77777777" w:rsidR="00AC6250" w:rsidRPr="001943D1" w:rsidRDefault="00AC6250" w:rsidP="00AC6250">
      <w:pPr>
        <w:numPr>
          <w:ilvl w:val="0"/>
          <w:numId w:val="45"/>
        </w:numPr>
        <w:ind w:left="1134" w:hanging="284"/>
        <w:jc w:val="both"/>
        <w:rPr>
          <w:color w:val="000000"/>
        </w:rPr>
      </w:pPr>
      <w:r>
        <w:rPr>
          <w:b/>
          <w:sz w:val="22"/>
          <w:szCs w:val="22"/>
          <w:u w:val="single"/>
        </w:rPr>
        <w:t>Economic and financial capacity of candidate</w:t>
      </w:r>
      <w:r>
        <w:rPr>
          <w:b/>
          <w:sz w:val="22"/>
          <w:szCs w:val="22"/>
        </w:rPr>
        <w:t xml:space="preserve"> (</w:t>
      </w:r>
      <w:r>
        <w:rPr>
          <w:sz w:val="22"/>
          <w:szCs w:val="22"/>
        </w:rPr>
        <w:t>based on item 3 of the tender form). In case of candidate being a public body, equivalent information should be provided. The reference period which will be taken into account will be the last three years for which accounts have been closed.</w:t>
      </w:r>
    </w:p>
    <w:p w14:paraId="7195A0C7" w14:textId="77777777" w:rsidR="00AC6250" w:rsidRDefault="00AC6250" w:rsidP="00AC6250">
      <w:pPr>
        <w:ind w:left="414" w:firstLine="720"/>
        <w:jc w:val="both"/>
        <w:rPr>
          <w:sz w:val="22"/>
          <w:szCs w:val="22"/>
        </w:rPr>
      </w:pPr>
      <w:r w:rsidRPr="000D27CC">
        <w:rPr>
          <w:sz w:val="22"/>
          <w:szCs w:val="22"/>
        </w:rPr>
        <w:t>The selection criteria for each tenderer are as follows:</w:t>
      </w:r>
    </w:p>
    <w:p w14:paraId="1445D547" w14:textId="77777777" w:rsidR="00AC6250" w:rsidRPr="00E71760" w:rsidRDefault="00AC6250" w:rsidP="00AC6250">
      <w:pPr>
        <w:widowControl/>
        <w:numPr>
          <w:ilvl w:val="0"/>
          <w:numId w:val="46"/>
        </w:numPr>
        <w:spacing w:before="120" w:after="120"/>
        <w:jc w:val="both"/>
        <w:rPr>
          <w:color w:val="000000"/>
          <w:sz w:val="22"/>
          <w:szCs w:val="22"/>
        </w:rPr>
      </w:pPr>
      <w:r w:rsidRPr="0099533C">
        <w:rPr>
          <w:sz w:val="22"/>
          <w:szCs w:val="22"/>
        </w:rPr>
        <w:t>the average annual turnover of the tenderer must exceed  the annualised maximum budget of the contract i.e., the maximum budget stated in the contract notice divided by the initial contract duration in years, where this exceeds 1 year</w:t>
      </w:r>
    </w:p>
    <w:p w14:paraId="4D46441A" w14:textId="3266566C" w:rsidR="00AC6250" w:rsidRPr="00AC6250" w:rsidRDefault="00AC6250" w:rsidP="00AC6250">
      <w:pPr>
        <w:pStyle w:val="ListParagraph"/>
        <w:numPr>
          <w:ilvl w:val="0"/>
          <w:numId w:val="45"/>
        </w:numPr>
        <w:pBdr>
          <w:top w:val="nil"/>
          <w:left w:val="nil"/>
          <w:bottom w:val="nil"/>
          <w:right w:val="nil"/>
          <w:between w:val="nil"/>
        </w:pBdr>
        <w:contextualSpacing/>
        <w:jc w:val="both"/>
        <w:rPr>
          <w:color w:val="000000"/>
          <w:sz w:val="22"/>
          <w:szCs w:val="22"/>
        </w:rPr>
      </w:pPr>
      <w:r w:rsidRPr="00E71760">
        <w:rPr>
          <w:b/>
          <w:color w:val="000000"/>
          <w:sz w:val="22"/>
          <w:szCs w:val="22"/>
          <w:u w:val="single"/>
        </w:rPr>
        <w:t>Professional capacity of candidate</w:t>
      </w:r>
      <w:r w:rsidRPr="00E71760">
        <w:rPr>
          <w:b/>
          <w:color w:val="000000"/>
          <w:sz w:val="22"/>
          <w:szCs w:val="22"/>
        </w:rPr>
        <w:t xml:space="preserve"> </w:t>
      </w:r>
      <w:r w:rsidRPr="00E71760">
        <w:rPr>
          <w:color w:val="000000"/>
          <w:sz w:val="22"/>
          <w:szCs w:val="22"/>
        </w:rPr>
        <w:t xml:space="preserve">(based on items 4 and 5 of the tender form). The reference period which will be taken into account will be the </w:t>
      </w:r>
      <w:r w:rsidRPr="00E71760">
        <w:rPr>
          <w:b/>
          <w:color w:val="000000"/>
          <w:sz w:val="22"/>
          <w:szCs w:val="22"/>
        </w:rPr>
        <w:t>last three years</w:t>
      </w:r>
      <w:r w:rsidRPr="00E71760">
        <w:rPr>
          <w:color w:val="000000"/>
          <w:sz w:val="22"/>
          <w:szCs w:val="22"/>
        </w:rPr>
        <w:t xml:space="preserve"> from submission deadline.</w:t>
      </w:r>
    </w:p>
    <w:p w14:paraId="33A497AD" w14:textId="1C425810" w:rsidR="00AC6250" w:rsidRPr="00AC6250" w:rsidRDefault="00AC6250" w:rsidP="00A949AA">
      <w:pPr>
        <w:widowControl/>
        <w:numPr>
          <w:ilvl w:val="0"/>
          <w:numId w:val="46"/>
        </w:numPr>
        <w:spacing w:before="120" w:after="120"/>
        <w:jc w:val="both"/>
        <w:rPr>
          <w:sz w:val="22"/>
          <w:szCs w:val="22"/>
        </w:rPr>
      </w:pPr>
      <w:r w:rsidRPr="00AC6250">
        <w:rPr>
          <w:sz w:val="22"/>
          <w:szCs w:val="22"/>
        </w:rPr>
        <w:t>The tenderer has presently at least 1 presently engaged or employed staff</w:t>
      </w:r>
      <w:r>
        <w:rPr>
          <w:sz w:val="22"/>
          <w:szCs w:val="22"/>
        </w:rPr>
        <w:t xml:space="preserve"> (person)</w:t>
      </w:r>
      <w:r w:rsidRPr="00AC6250">
        <w:rPr>
          <w:sz w:val="22"/>
          <w:szCs w:val="22"/>
        </w:rPr>
        <w:t xml:space="preserve">  related to</w:t>
      </w:r>
      <w:r w:rsidR="00511032">
        <w:rPr>
          <w:sz w:val="22"/>
          <w:szCs w:val="22"/>
        </w:rPr>
        <w:t xml:space="preserve"> </w:t>
      </w:r>
      <w:r w:rsidR="00511032">
        <w:rPr>
          <w:b/>
          <w:sz w:val="22"/>
          <w:szCs w:val="22"/>
        </w:rPr>
        <w:t>conduction of trainings and courses,</w:t>
      </w:r>
      <w:r w:rsidR="00A949AA">
        <w:rPr>
          <w:sz w:val="22"/>
          <w:szCs w:val="22"/>
        </w:rPr>
        <w:t xml:space="preserve"> </w:t>
      </w:r>
      <w:r w:rsidR="00A949AA" w:rsidRPr="00A949AA">
        <w:rPr>
          <w:b/>
          <w:sz w:val="22"/>
          <w:szCs w:val="22"/>
        </w:rPr>
        <w:t>consulting services</w:t>
      </w:r>
      <w:r w:rsidR="00A949AA">
        <w:rPr>
          <w:b/>
          <w:sz w:val="22"/>
          <w:szCs w:val="22"/>
        </w:rPr>
        <w:t>, research services</w:t>
      </w:r>
      <w:r w:rsidR="00511032">
        <w:rPr>
          <w:b/>
          <w:sz w:val="22"/>
          <w:szCs w:val="22"/>
        </w:rPr>
        <w:t>,</w:t>
      </w:r>
      <w:r w:rsidR="00A949AA">
        <w:rPr>
          <w:b/>
          <w:sz w:val="22"/>
          <w:szCs w:val="22"/>
        </w:rPr>
        <w:t xml:space="preserve"> and other services related to preparation and conducting strategies, plans, action plans and different scientific and research papers</w:t>
      </w:r>
      <w:r w:rsidR="00511032">
        <w:rPr>
          <w:b/>
          <w:sz w:val="22"/>
          <w:szCs w:val="22"/>
        </w:rPr>
        <w:t xml:space="preserve"> and training materials</w:t>
      </w:r>
      <w:r w:rsidR="00A949AA">
        <w:rPr>
          <w:sz w:val="22"/>
          <w:szCs w:val="22"/>
        </w:rPr>
        <w:t xml:space="preserve"> </w:t>
      </w:r>
      <w:r w:rsidRPr="00AC6250">
        <w:rPr>
          <w:sz w:val="22"/>
          <w:szCs w:val="22"/>
        </w:rPr>
        <w:t>in last 3 years.</w:t>
      </w:r>
    </w:p>
    <w:p w14:paraId="72736D50" w14:textId="1E36CFD6" w:rsidR="00AC6250" w:rsidRPr="00AC6250" w:rsidRDefault="00AC6250" w:rsidP="00AC6250">
      <w:pPr>
        <w:pStyle w:val="ListParagraph"/>
        <w:numPr>
          <w:ilvl w:val="0"/>
          <w:numId w:val="45"/>
        </w:numPr>
        <w:pBdr>
          <w:top w:val="nil"/>
          <w:left w:val="nil"/>
          <w:bottom w:val="nil"/>
          <w:right w:val="nil"/>
          <w:between w:val="nil"/>
        </w:pBdr>
        <w:ind w:right="26"/>
        <w:contextualSpacing/>
        <w:jc w:val="both"/>
        <w:rPr>
          <w:color w:val="000000"/>
          <w:sz w:val="22"/>
          <w:szCs w:val="22"/>
        </w:rPr>
      </w:pPr>
      <w:r w:rsidRPr="00E71760">
        <w:rPr>
          <w:b/>
          <w:color w:val="000000"/>
          <w:sz w:val="22"/>
          <w:szCs w:val="22"/>
          <w:u w:val="single"/>
        </w:rPr>
        <w:lastRenderedPageBreak/>
        <w:t xml:space="preserve">Technical capacity of candidate </w:t>
      </w:r>
      <w:r w:rsidRPr="00E71760">
        <w:rPr>
          <w:color w:val="000000"/>
          <w:sz w:val="22"/>
          <w:szCs w:val="22"/>
        </w:rPr>
        <w:t xml:space="preserve">(based on items 5 and 6 of the tender form). The reference period which will be taken into account will be the </w:t>
      </w:r>
      <w:r w:rsidRPr="00E71760">
        <w:rPr>
          <w:b/>
          <w:color w:val="000000"/>
          <w:sz w:val="22"/>
          <w:szCs w:val="22"/>
        </w:rPr>
        <w:t xml:space="preserve">last </w:t>
      </w:r>
      <w:r>
        <w:rPr>
          <w:b/>
          <w:color w:val="000000"/>
          <w:sz w:val="22"/>
          <w:szCs w:val="22"/>
        </w:rPr>
        <w:t>3</w:t>
      </w:r>
      <w:r w:rsidRPr="00E71760">
        <w:rPr>
          <w:b/>
          <w:color w:val="000000"/>
          <w:sz w:val="22"/>
          <w:szCs w:val="22"/>
        </w:rPr>
        <w:t xml:space="preserve"> years</w:t>
      </w:r>
      <w:r w:rsidRPr="00E71760">
        <w:rPr>
          <w:color w:val="000000"/>
          <w:sz w:val="22"/>
          <w:szCs w:val="22"/>
        </w:rPr>
        <w:t xml:space="preserve"> from submission deadline.</w:t>
      </w:r>
    </w:p>
    <w:p w14:paraId="0F540625" w14:textId="21498579" w:rsidR="00AC6250" w:rsidRDefault="00AC6250" w:rsidP="00AC6250">
      <w:pPr>
        <w:pStyle w:val="ListParagraph"/>
        <w:pBdr>
          <w:top w:val="nil"/>
          <w:left w:val="nil"/>
          <w:bottom w:val="nil"/>
          <w:right w:val="nil"/>
          <w:between w:val="nil"/>
        </w:pBdr>
        <w:ind w:left="1210" w:right="26"/>
        <w:jc w:val="both"/>
        <w:rPr>
          <w:color w:val="000000"/>
          <w:sz w:val="22"/>
          <w:szCs w:val="22"/>
        </w:rPr>
      </w:pPr>
      <w:r w:rsidRPr="009F63CD">
        <w:rPr>
          <w:color w:val="000000"/>
          <w:sz w:val="22"/>
          <w:szCs w:val="22"/>
        </w:rPr>
        <w:t xml:space="preserve">The tenderer </w:t>
      </w:r>
      <w:r w:rsidRPr="009F63CD">
        <w:rPr>
          <w:sz w:val="22"/>
          <w:szCs w:val="22"/>
        </w:rPr>
        <w:t xml:space="preserve">has provided services under </w:t>
      </w:r>
      <w:r w:rsidRPr="00C66529">
        <w:rPr>
          <w:b/>
          <w:sz w:val="22"/>
          <w:szCs w:val="22"/>
        </w:rPr>
        <w:t>at least 1 contract</w:t>
      </w:r>
      <w:r w:rsidRPr="00C66529">
        <w:rPr>
          <w:sz w:val="22"/>
          <w:szCs w:val="22"/>
        </w:rPr>
        <w:t xml:space="preserve"> with a budget of </w:t>
      </w:r>
      <w:r>
        <w:rPr>
          <w:b/>
          <w:sz w:val="22"/>
          <w:szCs w:val="22"/>
        </w:rPr>
        <w:t xml:space="preserve">at least </w:t>
      </w:r>
      <w:r w:rsidR="00511032">
        <w:rPr>
          <w:b/>
          <w:sz w:val="22"/>
          <w:szCs w:val="22"/>
        </w:rPr>
        <w:t>29</w:t>
      </w:r>
      <w:r>
        <w:rPr>
          <w:b/>
          <w:sz w:val="22"/>
          <w:szCs w:val="22"/>
        </w:rPr>
        <w:t>.0</w:t>
      </w:r>
      <w:r w:rsidRPr="00C66529">
        <w:rPr>
          <w:b/>
          <w:sz w:val="22"/>
          <w:szCs w:val="22"/>
        </w:rPr>
        <w:t>00 EUR</w:t>
      </w:r>
      <w:r w:rsidRPr="00C66529">
        <w:rPr>
          <w:sz w:val="22"/>
          <w:szCs w:val="22"/>
        </w:rPr>
        <w:t xml:space="preserve"> </w:t>
      </w:r>
      <w:r>
        <w:rPr>
          <w:sz w:val="22"/>
          <w:szCs w:val="22"/>
        </w:rPr>
        <w:t xml:space="preserve">or </w:t>
      </w:r>
      <w:r>
        <w:rPr>
          <w:b/>
          <w:sz w:val="22"/>
          <w:szCs w:val="22"/>
        </w:rPr>
        <w:t xml:space="preserve">value of financial offer </w:t>
      </w:r>
      <w:r w:rsidRPr="00C66529">
        <w:rPr>
          <w:sz w:val="22"/>
          <w:szCs w:val="22"/>
        </w:rPr>
        <w:t>in</w:t>
      </w:r>
      <w:r>
        <w:rPr>
          <w:sz w:val="22"/>
          <w:szCs w:val="22"/>
        </w:rPr>
        <w:t xml:space="preserve"> </w:t>
      </w:r>
      <w:r w:rsidR="00511032">
        <w:rPr>
          <w:b/>
          <w:sz w:val="22"/>
          <w:szCs w:val="22"/>
        </w:rPr>
        <w:t>conduction of trainings and courses,</w:t>
      </w:r>
      <w:r w:rsidR="00511032">
        <w:rPr>
          <w:sz w:val="22"/>
          <w:szCs w:val="22"/>
        </w:rPr>
        <w:t xml:space="preserve"> </w:t>
      </w:r>
      <w:r w:rsidR="00511032" w:rsidRPr="00A949AA">
        <w:rPr>
          <w:b/>
          <w:sz w:val="22"/>
          <w:szCs w:val="22"/>
        </w:rPr>
        <w:t>consulting services</w:t>
      </w:r>
      <w:r w:rsidR="00511032">
        <w:rPr>
          <w:b/>
          <w:sz w:val="22"/>
          <w:szCs w:val="22"/>
        </w:rPr>
        <w:t>, research services, and other services related to preparation and conducting strategies, plans, action plans and different scientific and research papers and training materials</w:t>
      </w:r>
      <w:r w:rsidRPr="00C66529">
        <w:rPr>
          <w:sz w:val="22"/>
          <w:szCs w:val="22"/>
        </w:rPr>
        <w:t xml:space="preserve"> which were implemented </w:t>
      </w:r>
      <w:r w:rsidRPr="00C66529">
        <w:rPr>
          <w:color w:val="000000"/>
          <w:sz w:val="22"/>
          <w:szCs w:val="22"/>
        </w:rPr>
        <w:t xml:space="preserve">in the past </w:t>
      </w:r>
      <w:r>
        <w:rPr>
          <w:b/>
          <w:color w:val="000000"/>
          <w:sz w:val="22"/>
          <w:szCs w:val="22"/>
        </w:rPr>
        <w:t>3</w:t>
      </w:r>
      <w:r w:rsidRPr="00C66529">
        <w:rPr>
          <w:b/>
          <w:color w:val="000000"/>
          <w:sz w:val="22"/>
          <w:szCs w:val="22"/>
        </w:rPr>
        <w:t xml:space="preserve"> years</w:t>
      </w:r>
      <w:r w:rsidR="00A949AA">
        <w:rPr>
          <w:b/>
          <w:color w:val="000000"/>
          <w:sz w:val="22"/>
          <w:szCs w:val="22"/>
        </w:rPr>
        <w:t xml:space="preserve"> </w:t>
      </w:r>
      <w:r w:rsidR="00A949AA">
        <w:rPr>
          <w:color w:val="000000"/>
          <w:sz w:val="22"/>
          <w:szCs w:val="22"/>
        </w:rPr>
        <w:t xml:space="preserve">or </w:t>
      </w:r>
      <w:r w:rsidR="00A949AA">
        <w:rPr>
          <w:b/>
          <w:color w:val="000000"/>
          <w:sz w:val="22"/>
          <w:szCs w:val="22"/>
        </w:rPr>
        <w:t xml:space="preserve">up to 5 contracts </w:t>
      </w:r>
      <w:r w:rsidR="00A949AA" w:rsidRPr="00C66529">
        <w:rPr>
          <w:sz w:val="22"/>
          <w:szCs w:val="22"/>
        </w:rPr>
        <w:t>with a</w:t>
      </w:r>
      <w:r w:rsidR="00A949AA">
        <w:rPr>
          <w:sz w:val="22"/>
          <w:szCs w:val="22"/>
        </w:rPr>
        <w:t xml:space="preserve"> total</w:t>
      </w:r>
      <w:r w:rsidR="00A949AA" w:rsidRPr="00C66529">
        <w:rPr>
          <w:sz w:val="22"/>
          <w:szCs w:val="22"/>
        </w:rPr>
        <w:t xml:space="preserve"> budget of </w:t>
      </w:r>
      <w:r w:rsidR="00A949AA">
        <w:rPr>
          <w:b/>
          <w:sz w:val="22"/>
          <w:szCs w:val="22"/>
        </w:rPr>
        <w:t xml:space="preserve">at least </w:t>
      </w:r>
      <w:r w:rsidR="00511032">
        <w:rPr>
          <w:b/>
          <w:sz w:val="22"/>
          <w:szCs w:val="22"/>
        </w:rPr>
        <w:t>29</w:t>
      </w:r>
      <w:r w:rsidR="00A949AA">
        <w:rPr>
          <w:b/>
          <w:sz w:val="22"/>
          <w:szCs w:val="22"/>
        </w:rPr>
        <w:t>.0</w:t>
      </w:r>
      <w:r w:rsidR="00A949AA" w:rsidRPr="00C66529">
        <w:rPr>
          <w:b/>
          <w:sz w:val="22"/>
          <w:szCs w:val="22"/>
        </w:rPr>
        <w:t>00 EUR</w:t>
      </w:r>
      <w:r w:rsidR="00A949AA" w:rsidRPr="00C66529">
        <w:rPr>
          <w:sz w:val="22"/>
          <w:szCs w:val="22"/>
        </w:rPr>
        <w:t xml:space="preserve"> </w:t>
      </w:r>
      <w:r w:rsidR="00A949AA">
        <w:rPr>
          <w:sz w:val="22"/>
          <w:szCs w:val="22"/>
        </w:rPr>
        <w:t xml:space="preserve">or </w:t>
      </w:r>
      <w:r w:rsidR="00511032">
        <w:rPr>
          <w:b/>
          <w:sz w:val="22"/>
          <w:szCs w:val="22"/>
        </w:rPr>
        <w:t>conduction of trainings and courses,</w:t>
      </w:r>
      <w:r w:rsidR="00511032">
        <w:rPr>
          <w:sz w:val="22"/>
          <w:szCs w:val="22"/>
        </w:rPr>
        <w:t xml:space="preserve"> </w:t>
      </w:r>
      <w:r w:rsidR="00511032" w:rsidRPr="00A949AA">
        <w:rPr>
          <w:b/>
          <w:sz w:val="22"/>
          <w:szCs w:val="22"/>
        </w:rPr>
        <w:t>consulting services</w:t>
      </w:r>
      <w:r w:rsidR="00511032">
        <w:rPr>
          <w:b/>
          <w:sz w:val="22"/>
          <w:szCs w:val="22"/>
        </w:rPr>
        <w:t>, research services, and other services related to preparation and conducting strategies, plans, action plans and different scientific and research papers and training materials</w:t>
      </w:r>
      <w:r w:rsidR="00A949AA">
        <w:rPr>
          <w:b/>
          <w:color w:val="000000"/>
          <w:sz w:val="22"/>
          <w:szCs w:val="22"/>
        </w:rPr>
        <w:t xml:space="preserve"> </w:t>
      </w:r>
      <w:r w:rsidR="00A949AA" w:rsidRPr="00C66529">
        <w:rPr>
          <w:sz w:val="22"/>
          <w:szCs w:val="22"/>
        </w:rPr>
        <w:t xml:space="preserve">which were implemented </w:t>
      </w:r>
      <w:r w:rsidR="00A949AA" w:rsidRPr="00C66529">
        <w:rPr>
          <w:color w:val="000000"/>
          <w:sz w:val="22"/>
          <w:szCs w:val="22"/>
        </w:rPr>
        <w:t xml:space="preserve">in the past </w:t>
      </w:r>
      <w:r w:rsidR="00A949AA">
        <w:rPr>
          <w:b/>
          <w:color w:val="000000"/>
          <w:sz w:val="22"/>
          <w:szCs w:val="22"/>
        </w:rPr>
        <w:t>3</w:t>
      </w:r>
      <w:r w:rsidR="00A949AA" w:rsidRPr="00C66529">
        <w:rPr>
          <w:b/>
          <w:color w:val="000000"/>
          <w:sz w:val="22"/>
          <w:szCs w:val="22"/>
        </w:rPr>
        <w:t xml:space="preserve"> years</w:t>
      </w:r>
      <w:r w:rsidRPr="00C66529">
        <w:rPr>
          <w:color w:val="000000"/>
          <w:sz w:val="22"/>
          <w:szCs w:val="22"/>
        </w:rPr>
        <w:t>.</w:t>
      </w:r>
    </w:p>
    <w:p w14:paraId="257C68F3" w14:textId="77777777" w:rsidR="00AC6250" w:rsidRDefault="00AC6250" w:rsidP="00AC6250">
      <w:pPr>
        <w:pBdr>
          <w:top w:val="nil"/>
          <w:left w:val="nil"/>
          <w:bottom w:val="nil"/>
          <w:right w:val="nil"/>
          <w:between w:val="nil"/>
        </w:pBdr>
        <w:ind w:left="1134" w:right="26"/>
        <w:jc w:val="both"/>
        <w:rPr>
          <w:color w:val="000000"/>
          <w:sz w:val="22"/>
          <w:szCs w:val="22"/>
        </w:rPr>
      </w:pPr>
      <w:r>
        <w:rPr>
          <w:color w:val="000000"/>
          <w:sz w:val="22"/>
          <w:szCs w:val="22"/>
        </w:rPr>
        <w:t xml:space="preserve">Previous experience which caused breach of contract and termination by a Contracting Authority shall not be used as reference. </w:t>
      </w:r>
    </w:p>
    <w:p w14:paraId="3364A443" w14:textId="26B0A42F" w:rsidR="007121FB" w:rsidRPr="00AC6250" w:rsidRDefault="00AC6250" w:rsidP="00AC6250">
      <w:pPr>
        <w:pBdr>
          <w:top w:val="nil"/>
          <w:left w:val="nil"/>
          <w:bottom w:val="nil"/>
          <w:right w:val="nil"/>
          <w:between w:val="nil"/>
        </w:pBdr>
        <w:ind w:left="1134" w:right="26"/>
        <w:jc w:val="both"/>
        <w:rPr>
          <w:color w:val="000000"/>
          <w:sz w:val="22"/>
          <w:szCs w:val="22"/>
        </w:rPr>
      </w:pPr>
      <w:r>
        <w:rPr>
          <w:color w:val="000000"/>
          <w:sz w:val="22"/>
          <w:szCs w:val="22"/>
        </w:rPr>
        <w:t>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commitment on the part of those entities to place those resources at its disposal. Such entities, for instance the parent company of the economic operator, must respect the same rules of eligibility - notably that of nationality – and must fulfil the same relevant selection criteria as the economic operator. With regard to technical and professional criteria, an economic operator may only rely on the capacities of other entities where the latter will perform the works or services for which these capacities are required. With regard to economic and financial criteria, the entities upon whose capacity the tenderer relies, become jointly and severally liable for the performance of the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141AD834" w:rsidR="006F5FD0" w:rsidRPr="00B33EE6" w:rsidRDefault="00F33539" w:rsidP="00AC6250">
      <w:pPr>
        <w:pStyle w:val="Blockquote"/>
        <w:ind w:right="1"/>
        <w:jc w:val="both"/>
        <w:rPr>
          <w:sz w:val="22"/>
          <w:szCs w:val="22"/>
          <w:lang w:val="en-GB"/>
        </w:rPr>
      </w:pPr>
      <w:r w:rsidRPr="00AC6250">
        <w:rPr>
          <w:sz w:val="22"/>
          <w:szCs w:val="22"/>
          <w:lang w:val="en-GB"/>
        </w:rPr>
        <w:t>Best</w:t>
      </w:r>
      <w:r w:rsidR="00060001" w:rsidRPr="00AC6250">
        <w:rPr>
          <w:sz w:val="22"/>
          <w:szCs w:val="22"/>
          <w:lang w:val="en-GB"/>
        </w:rPr>
        <w:t xml:space="preserve"> price-quality </w:t>
      </w:r>
      <w:r w:rsidRPr="00AC6250">
        <w:rPr>
          <w:sz w:val="22"/>
          <w:szCs w:val="22"/>
          <w:lang w:val="en-GB"/>
        </w:rPr>
        <w:t>ratio.</w:t>
      </w:r>
    </w:p>
    <w:p w14:paraId="793B56EE" w14:textId="77777777" w:rsidR="006F5FD0" w:rsidRPr="00B33EE6" w:rsidRDefault="00AC1C22">
      <w:pPr>
        <w:rPr>
          <w:sz w:val="22"/>
          <w:szCs w:val="22"/>
          <w:lang w:val="en-GB"/>
        </w:rPr>
      </w:pPr>
      <w:r>
        <w:rPr>
          <w:snapToGrid/>
          <w:sz w:val="22"/>
          <w:szCs w:val="22"/>
          <w:lang w:val="en-GB"/>
        </w:rPr>
        <w:pict w14:anchorId="45BE0657">
          <v:line id="_x0000_s1031" style="position:absolute;z-index:5"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2441737C"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9" w:anchor="Annexes-AnnexesB(Ch.3): Servicecontracts" w:history="1">
        <w:r w:rsidR="00511032" w:rsidRPr="005305FA">
          <w:rPr>
            <w:rStyle w:val="Hyperlink"/>
            <w:sz w:val="22"/>
            <w:szCs w:val="22"/>
            <w:lang w:val="en-GB"/>
          </w:rPr>
          <w:t>https://wikis.ec.europa.eu/display/ExactExternalWiki/Annexes#Annexes-AnnexesB(Ch.3): 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AC1C22" w:rsidP="004D5EDB">
      <w:pPr>
        <w:pStyle w:val="Blockquote"/>
        <w:jc w:val="both"/>
        <w:rPr>
          <w:sz w:val="22"/>
          <w:szCs w:val="22"/>
          <w:lang w:val="en-GB"/>
        </w:rPr>
      </w:pPr>
      <w:hyperlink r:id="rId10"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lastRenderedPageBreak/>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2AC4BD41" w14:textId="1C9227C9" w:rsidR="007F6AA9" w:rsidRPr="00F9055E" w:rsidRDefault="00AF412E" w:rsidP="00511032">
      <w:pPr>
        <w:widowControl/>
        <w:snapToGrid w:val="0"/>
        <w:spacing w:after="0"/>
        <w:ind w:left="360" w:right="360"/>
        <w:jc w:val="both"/>
        <w:rPr>
          <w:sz w:val="22"/>
          <w:szCs w:val="22"/>
          <w:lang w:val="en-GB"/>
        </w:rPr>
      </w:pPr>
      <w:r w:rsidRPr="009C3194">
        <w:rPr>
          <w:sz w:val="22"/>
          <w:szCs w:val="22"/>
          <w:lang w:val="en-GB"/>
        </w:rPr>
        <w:t xml:space="preserve">Financial data to be provided by the candidate in the </w:t>
      </w:r>
      <w:r w:rsidR="009C3194">
        <w:rPr>
          <w:sz w:val="22"/>
          <w:szCs w:val="22"/>
          <w:lang w:val="en-GB"/>
        </w:rPr>
        <w:t xml:space="preserve">standard application form </w:t>
      </w:r>
      <w:r w:rsidRPr="009C3194">
        <w:rPr>
          <w:sz w:val="22"/>
          <w:szCs w:val="22"/>
          <w:lang w:val="en-GB"/>
        </w:rPr>
        <w:t xml:space="preserve">must be expressed in </w:t>
      </w:r>
      <w:r w:rsidR="009C3194" w:rsidRPr="009C3194">
        <w:rPr>
          <w:b/>
          <w:sz w:val="22"/>
          <w:szCs w:val="22"/>
          <w:lang w:val="en-GB"/>
        </w:rPr>
        <w:t>RSD</w:t>
      </w:r>
      <w:r w:rsidRPr="009C3194">
        <w:rPr>
          <w:sz w:val="22"/>
          <w:szCs w:val="22"/>
          <w:lang w:val="en-GB"/>
        </w:rPr>
        <w:t xml:space="preserve">. If applicable, where a candidate refers to amounts originally expressed in a different currency, the conversion to </w:t>
      </w:r>
      <w:r w:rsidR="009C3194" w:rsidRPr="009C3194">
        <w:rPr>
          <w:sz w:val="22"/>
          <w:szCs w:val="22"/>
          <w:lang w:val="en-GB"/>
        </w:rPr>
        <w:t>RSD</w:t>
      </w:r>
      <w:r w:rsidRPr="009C3194">
        <w:rPr>
          <w:sz w:val="22"/>
          <w:szCs w:val="22"/>
          <w:lang w:val="en-GB"/>
        </w:rPr>
        <w:t xml:space="preserve"> shall be made in accordance with the InforEuro exchange rate of </w:t>
      </w:r>
      <w:r w:rsidR="0044200E">
        <w:rPr>
          <w:b/>
          <w:sz w:val="22"/>
          <w:szCs w:val="22"/>
          <w:lang w:val="en-GB"/>
        </w:rPr>
        <w:t>January 2025</w:t>
      </w:r>
      <w:r w:rsidRPr="009C3194">
        <w:rPr>
          <w:b/>
          <w:sz w:val="22"/>
          <w:szCs w:val="22"/>
          <w:lang w:val="en-GB"/>
        </w:rPr>
        <w:t xml:space="preserve"> </w:t>
      </w:r>
      <w:r w:rsidRPr="009C3194">
        <w:rPr>
          <w:sz w:val="22"/>
          <w:szCs w:val="22"/>
          <w:lang w:val="en-GB"/>
        </w:rPr>
        <w:t xml:space="preserve">of the applicable InforEuro exchange rate, which can be found at the following address: </w:t>
      </w:r>
      <w:hyperlink r:id="rId11" w:history="1">
        <w:r w:rsidRPr="009C3194">
          <w:rPr>
            <w:rStyle w:val="Hyperlink"/>
            <w:sz w:val="22"/>
            <w:szCs w:val="22"/>
            <w:lang w:val="en-GB"/>
          </w:rPr>
          <w:t>http://ec.europa.eu/budget/graphs/inforeuro.html</w:t>
        </w:r>
      </w:hyperlink>
      <w:r w:rsidRPr="009C3194">
        <w:rPr>
          <w:sz w:val="22"/>
          <w:szCs w:val="22"/>
          <w:lang w:val="en-GB"/>
        </w:rPr>
        <w:t>.</w:t>
      </w:r>
    </w:p>
    <w:sectPr w:rsidR="007F6AA9" w:rsidRPr="00F9055E" w:rsidSect="00E147D3">
      <w:headerReference w:type="even" r:id="rId12"/>
      <w:headerReference w:type="default" r:id="rId13"/>
      <w:footerReference w:type="even" r:id="rId14"/>
      <w:footerReference w:type="default" r:id="rId15"/>
      <w:headerReference w:type="first" r:id="rId16"/>
      <w:footerReference w:type="first" r:id="rId17"/>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6FD85B" w14:textId="77777777" w:rsidR="00AC1C22" w:rsidRDefault="00AC1C22">
      <w:r>
        <w:separator/>
      </w:r>
    </w:p>
  </w:endnote>
  <w:endnote w:type="continuationSeparator" w:id="0">
    <w:p w14:paraId="7EBBF88C" w14:textId="77777777" w:rsidR="00AC1C22" w:rsidRDefault="00AC1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CC7D1" w14:textId="77777777" w:rsidR="0038795F" w:rsidRDefault="003879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EBA12" w14:textId="7AA8888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A145DA">
      <w:rPr>
        <w:rStyle w:val="PageNumber"/>
        <w:noProof/>
        <w:sz w:val="18"/>
        <w:szCs w:val="18"/>
        <w:lang w:val="en-GB"/>
      </w:rPr>
      <w:t>5</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A145DA">
      <w:rPr>
        <w:rStyle w:val="PageNumber"/>
        <w:noProof/>
        <w:sz w:val="18"/>
        <w:szCs w:val="18"/>
        <w:lang w:val="en-GB"/>
      </w:rPr>
      <w:t>5</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AC99A" w14:textId="77777777" w:rsidR="0038795F" w:rsidRDefault="003879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F885F" w14:textId="77777777" w:rsidR="00AC1C22" w:rsidRDefault="00AC1C22">
      <w:r>
        <w:separator/>
      </w:r>
    </w:p>
  </w:footnote>
  <w:footnote w:type="continuationSeparator" w:id="0">
    <w:p w14:paraId="1C7A9A01" w14:textId="77777777" w:rsidR="00AC1C22" w:rsidRDefault="00AC1C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67940" w14:textId="77777777" w:rsidR="0038795F" w:rsidRDefault="003879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82B94" w14:textId="77777777" w:rsidR="0038795F" w:rsidRDefault="0038795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3EEE1" w14:textId="77777777" w:rsidR="0038795F" w:rsidRDefault="003879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293A5788"/>
    <w:multiLevelType w:val="hybridMultilevel"/>
    <w:tmpl w:val="992A5E86"/>
    <w:lvl w:ilvl="0" w:tplc="00A87AE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nsid w:val="2CBC6CFD"/>
    <w:multiLevelType w:val="multilevel"/>
    <w:tmpl w:val="FC529216"/>
    <w:lvl w:ilvl="0">
      <w:start w:val="1"/>
      <w:numFmt w:val="decimal"/>
      <w:lvlText w:val="%1)"/>
      <w:lvlJc w:val="left"/>
      <w:pPr>
        <w:ind w:left="1210" w:hanging="360"/>
      </w:pPr>
      <w:rPr>
        <w:b/>
        <w:vertAlign w:val="baseline"/>
      </w:rPr>
    </w:lvl>
    <w:lvl w:ilvl="1">
      <w:start w:val="1"/>
      <w:numFmt w:val="lowerLetter"/>
      <w:lvlText w:val="%2."/>
      <w:lvlJc w:val="left"/>
      <w:pPr>
        <w:ind w:left="1930" w:hanging="360"/>
      </w:pPr>
      <w:rPr>
        <w:vertAlign w:val="baseline"/>
      </w:rPr>
    </w:lvl>
    <w:lvl w:ilvl="2">
      <w:start w:val="1"/>
      <w:numFmt w:val="lowerRoman"/>
      <w:lvlText w:val="%3."/>
      <w:lvlJc w:val="right"/>
      <w:pPr>
        <w:ind w:left="2650" w:hanging="180"/>
      </w:pPr>
      <w:rPr>
        <w:vertAlign w:val="baseline"/>
      </w:rPr>
    </w:lvl>
    <w:lvl w:ilvl="3">
      <w:start w:val="1"/>
      <w:numFmt w:val="decimal"/>
      <w:lvlText w:val="%4."/>
      <w:lvlJc w:val="left"/>
      <w:pPr>
        <w:ind w:left="3370" w:hanging="360"/>
      </w:pPr>
      <w:rPr>
        <w:vertAlign w:val="baseline"/>
      </w:rPr>
    </w:lvl>
    <w:lvl w:ilvl="4">
      <w:start w:val="1"/>
      <w:numFmt w:val="lowerLetter"/>
      <w:lvlText w:val="%5."/>
      <w:lvlJc w:val="left"/>
      <w:pPr>
        <w:ind w:left="4090" w:hanging="360"/>
      </w:pPr>
      <w:rPr>
        <w:vertAlign w:val="baseline"/>
      </w:rPr>
    </w:lvl>
    <w:lvl w:ilvl="5">
      <w:start w:val="1"/>
      <w:numFmt w:val="lowerRoman"/>
      <w:lvlText w:val="%6."/>
      <w:lvlJc w:val="right"/>
      <w:pPr>
        <w:ind w:left="4810" w:hanging="180"/>
      </w:pPr>
      <w:rPr>
        <w:vertAlign w:val="baseline"/>
      </w:rPr>
    </w:lvl>
    <w:lvl w:ilvl="6">
      <w:start w:val="1"/>
      <w:numFmt w:val="decimal"/>
      <w:lvlText w:val="%7."/>
      <w:lvlJc w:val="left"/>
      <w:pPr>
        <w:ind w:left="5530" w:hanging="360"/>
      </w:pPr>
      <w:rPr>
        <w:vertAlign w:val="baseline"/>
      </w:rPr>
    </w:lvl>
    <w:lvl w:ilvl="7">
      <w:start w:val="1"/>
      <w:numFmt w:val="lowerLetter"/>
      <w:lvlText w:val="%8."/>
      <w:lvlJc w:val="left"/>
      <w:pPr>
        <w:ind w:left="6250" w:hanging="360"/>
      </w:pPr>
      <w:rPr>
        <w:vertAlign w:val="baseline"/>
      </w:rPr>
    </w:lvl>
    <w:lvl w:ilvl="8">
      <w:start w:val="1"/>
      <w:numFmt w:val="lowerRoman"/>
      <w:lvlText w:val="%9."/>
      <w:lvlJc w:val="right"/>
      <w:pPr>
        <w:ind w:left="6970" w:hanging="180"/>
      </w:pPr>
      <w:rPr>
        <w:vertAlign w:val="baseline"/>
      </w:rPr>
    </w:lvl>
  </w:abstractNum>
  <w:abstractNum w:abstractNumId="41">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3"/>
  </w:num>
  <w:num w:numId="35">
    <w:abstractNumId w:val="35"/>
  </w:num>
  <w:num w:numId="36">
    <w:abstractNumId w:val="33"/>
  </w:num>
  <w:num w:numId="37">
    <w:abstractNumId w:val="37"/>
  </w:num>
  <w:num w:numId="38">
    <w:abstractNumId w:val="41"/>
  </w:num>
  <w:num w:numId="39">
    <w:abstractNumId w:val="45"/>
  </w:num>
  <w:num w:numId="40">
    <w:abstractNumId w:val="46"/>
  </w:num>
  <w:num w:numId="41">
    <w:abstractNumId w:val="42"/>
  </w:num>
  <w:num w:numId="42">
    <w:abstractNumId w:val="44"/>
  </w:num>
  <w:num w:numId="43">
    <w:abstractNumId w:val="38"/>
  </w:num>
  <w:num w:numId="44">
    <w:abstractNumId w:val="34"/>
  </w:num>
  <w:num w:numId="45">
    <w:abstractNumId w:val="40"/>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26476"/>
    <w:rsid w:val="0003004C"/>
    <w:rsid w:val="00030910"/>
    <w:rsid w:val="000333FE"/>
    <w:rsid w:val="00051D1D"/>
    <w:rsid w:val="00060001"/>
    <w:rsid w:val="0006084A"/>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0359"/>
    <w:rsid w:val="003C1515"/>
    <w:rsid w:val="003D16FB"/>
    <w:rsid w:val="003D6CAD"/>
    <w:rsid w:val="003E782D"/>
    <w:rsid w:val="00400098"/>
    <w:rsid w:val="0040360C"/>
    <w:rsid w:val="004108A4"/>
    <w:rsid w:val="00424124"/>
    <w:rsid w:val="0043533D"/>
    <w:rsid w:val="0044200E"/>
    <w:rsid w:val="00445514"/>
    <w:rsid w:val="00452ED8"/>
    <w:rsid w:val="0045494F"/>
    <w:rsid w:val="004567DF"/>
    <w:rsid w:val="00472630"/>
    <w:rsid w:val="00473883"/>
    <w:rsid w:val="00476D80"/>
    <w:rsid w:val="00480B5C"/>
    <w:rsid w:val="00482E0D"/>
    <w:rsid w:val="004850B4"/>
    <w:rsid w:val="004901C2"/>
    <w:rsid w:val="004916FF"/>
    <w:rsid w:val="004957E5"/>
    <w:rsid w:val="004B278D"/>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1032"/>
    <w:rsid w:val="00513F0F"/>
    <w:rsid w:val="00517ADA"/>
    <w:rsid w:val="00535AAD"/>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D2DC5"/>
    <w:rsid w:val="006D330F"/>
    <w:rsid w:val="006D6080"/>
    <w:rsid w:val="006E0C6A"/>
    <w:rsid w:val="006E1BD0"/>
    <w:rsid w:val="006E3377"/>
    <w:rsid w:val="006E625F"/>
    <w:rsid w:val="006F5FD0"/>
    <w:rsid w:val="006F7885"/>
    <w:rsid w:val="007046C8"/>
    <w:rsid w:val="00706ADA"/>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29F0"/>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C3194"/>
    <w:rsid w:val="009E5BC1"/>
    <w:rsid w:val="009F0852"/>
    <w:rsid w:val="009F128B"/>
    <w:rsid w:val="009F12A5"/>
    <w:rsid w:val="009F5FB4"/>
    <w:rsid w:val="00A00BD5"/>
    <w:rsid w:val="00A021B5"/>
    <w:rsid w:val="00A02E6B"/>
    <w:rsid w:val="00A03055"/>
    <w:rsid w:val="00A046E7"/>
    <w:rsid w:val="00A04B00"/>
    <w:rsid w:val="00A11931"/>
    <w:rsid w:val="00A145DA"/>
    <w:rsid w:val="00A171EA"/>
    <w:rsid w:val="00A22177"/>
    <w:rsid w:val="00A236A4"/>
    <w:rsid w:val="00A27281"/>
    <w:rsid w:val="00A35081"/>
    <w:rsid w:val="00A35C35"/>
    <w:rsid w:val="00A36F1C"/>
    <w:rsid w:val="00A433A6"/>
    <w:rsid w:val="00A43E7A"/>
    <w:rsid w:val="00A46ED3"/>
    <w:rsid w:val="00A504E1"/>
    <w:rsid w:val="00A666EC"/>
    <w:rsid w:val="00A779FE"/>
    <w:rsid w:val="00A77B07"/>
    <w:rsid w:val="00A84E04"/>
    <w:rsid w:val="00A85E8A"/>
    <w:rsid w:val="00A949AA"/>
    <w:rsid w:val="00A94ED6"/>
    <w:rsid w:val="00A97B08"/>
    <w:rsid w:val="00AA5256"/>
    <w:rsid w:val="00AA7F22"/>
    <w:rsid w:val="00AB7F58"/>
    <w:rsid w:val="00AC0D0C"/>
    <w:rsid w:val="00AC1C22"/>
    <w:rsid w:val="00AC4530"/>
    <w:rsid w:val="00AC625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30183"/>
    <w:rsid w:val="00C316FC"/>
    <w:rsid w:val="00C3644F"/>
    <w:rsid w:val="00C36666"/>
    <w:rsid w:val="00C408EE"/>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36D7"/>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D3467"/>
    <w:rsid w:val="00DF04F0"/>
    <w:rsid w:val="00E147D3"/>
    <w:rsid w:val="00E1782A"/>
    <w:rsid w:val="00E17CCF"/>
    <w:rsid w:val="00E21BC3"/>
    <w:rsid w:val="00E23A94"/>
    <w:rsid w:val="00E30BB5"/>
    <w:rsid w:val="00E31447"/>
    <w:rsid w:val="00E422A2"/>
    <w:rsid w:val="00E44018"/>
    <w:rsid w:val="00E5220B"/>
    <w:rsid w:val="00E6172B"/>
    <w:rsid w:val="00E66A55"/>
    <w:rsid w:val="00E67890"/>
    <w:rsid w:val="00E713DA"/>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5292"/>
    <w:rsid w:val="00F27C45"/>
    <w:rsid w:val="00F33539"/>
    <w:rsid w:val="00F33C45"/>
    <w:rsid w:val="00F46873"/>
    <w:rsid w:val="00F4786D"/>
    <w:rsid w:val="00F504CC"/>
    <w:rsid w:val="00F50E8B"/>
    <w:rsid w:val="00F60220"/>
    <w:rsid w:val="00F77C8A"/>
    <w:rsid w:val="00F86AAA"/>
    <w:rsid w:val="00F9055E"/>
    <w:rsid w:val="00F91683"/>
    <w:rsid w:val="00FA00C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843474628">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budget/graphs/inforeuro.htm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ikis.ec.europa.eu/display/ExactExternalWiki/Annexe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10E4B-01EB-4B3C-B21A-B6AE6B935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5</Pages>
  <Words>1660</Words>
  <Characters>9465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11103</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Zita</cp:lastModifiedBy>
  <cp:revision>48</cp:revision>
  <cp:lastPrinted>2016-05-31T08:36:00Z</cp:lastPrinted>
  <dcterms:created xsi:type="dcterms:W3CDTF">2020-04-15T15:51:00Z</dcterms:created>
  <dcterms:modified xsi:type="dcterms:W3CDTF">2025-01-28T16:54:00Z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